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510" w:rsidRDefault="00D81B2C" w:rsidP="004B21A9">
      <w:pPr>
        <w:pStyle w:val="Heading110"/>
        <w:shd w:val="clear" w:color="auto" w:fill="auto"/>
        <w:spacing w:after="0"/>
        <w:jc w:val="center"/>
        <w:rPr>
          <w:lang w:val="en-GB"/>
        </w:rPr>
      </w:pPr>
      <w:bookmarkStart w:id="0" w:name="bookmark0"/>
      <w:bookmarkStart w:id="1" w:name="_GoBack"/>
      <w:bookmarkEnd w:id="1"/>
      <w:r w:rsidRPr="00D81B2C">
        <w:rPr>
          <w:lang w:bidi="tr-TR"/>
        </w:rPr>
        <w:t>İklim Eylem Simülasyonu: Sanayi ve Ticaret</w:t>
      </w:r>
      <w:bookmarkEnd w:id="0"/>
    </w:p>
    <w:p w:rsidR="006D1734" w:rsidRPr="00D81B2C" w:rsidRDefault="006D1734" w:rsidP="004B21A9">
      <w:pPr>
        <w:pStyle w:val="Heading110"/>
        <w:shd w:val="clear" w:color="auto" w:fill="auto"/>
        <w:spacing w:after="0"/>
        <w:jc w:val="both"/>
        <w:rPr>
          <w:lang w:val="en-GB"/>
        </w:rPr>
      </w:pPr>
    </w:p>
    <w:p w:rsidR="00097510" w:rsidRPr="00D81B2C" w:rsidRDefault="00D81B2C">
      <w:pPr>
        <w:pStyle w:val="Bodytext30"/>
        <w:pBdr>
          <w:top w:val="single" w:sz="4" w:space="1" w:color="auto"/>
        </w:pBdr>
        <w:shd w:val="clear" w:color="auto" w:fill="auto"/>
        <w:tabs>
          <w:tab w:val="left" w:pos="1440"/>
        </w:tabs>
        <w:spacing w:before="0"/>
        <w:rPr>
          <w:lang w:val="en-GB"/>
        </w:rPr>
      </w:pPr>
      <w:r w:rsidRPr="00D81B2C">
        <w:rPr>
          <w:lang w:bidi="tr-TR"/>
        </w:rPr>
        <w:t>Kime:</w:t>
      </w:r>
      <w:r w:rsidRPr="00D81B2C">
        <w:rPr>
          <w:lang w:bidi="tr-TR"/>
        </w:rPr>
        <w:tab/>
        <w:t>Sanayi ve Ticaret Başmüzakerecileri</w:t>
      </w:r>
    </w:p>
    <w:p w:rsidR="00097510" w:rsidRPr="00D81B2C" w:rsidRDefault="00D81B2C">
      <w:pPr>
        <w:pStyle w:val="Bodytext30"/>
        <w:shd w:val="clear" w:color="auto" w:fill="auto"/>
        <w:tabs>
          <w:tab w:val="left" w:pos="1440"/>
        </w:tabs>
        <w:spacing w:before="0" w:after="120"/>
        <w:rPr>
          <w:lang w:val="en-GB"/>
        </w:rPr>
      </w:pPr>
      <w:r w:rsidRPr="00D81B2C">
        <w:rPr>
          <w:lang w:bidi="tr-TR"/>
        </w:rPr>
        <w:t>Konu:</w:t>
      </w:r>
      <w:r w:rsidRPr="00D81B2C">
        <w:rPr>
          <w:lang w:bidi="tr-TR"/>
        </w:rPr>
        <w:tab/>
        <w:t>İklim Eylemi Zirvesi için Hazırlık</w:t>
      </w:r>
    </w:p>
    <w:p w:rsidR="00097510" w:rsidRPr="00D81B2C" w:rsidRDefault="00D81B2C" w:rsidP="004B21A9">
      <w:pPr>
        <w:pStyle w:val="Bodytext20"/>
        <w:shd w:val="clear" w:color="auto" w:fill="auto"/>
        <w:spacing w:before="0"/>
        <w:ind w:firstLine="0"/>
        <w:jc w:val="both"/>
        <w:rPr>
          <w:lang w:val="en-GB"/>
        </w:rPr>
      </w:pPr>
      <w:r w:rsidRPr="00D81B2C">
        <w:rPr>
          <w:lang w:bidi="tr-TR"/>
        </w:rPr>
        <w:t xml:space="preserve">İklim Eylemi Zirvesi’ne hoş geldiniz. Siz ve konunun tüm ilgililerinin liderleri, iklim değişikliğine başarılı bir şekilde eğilmek için birlikte çalışmak amacıyla BM Genel Sekreterliği tarafından davet edildiniz. Davette Genel Sekreterlik şunları </w:t>
      </w:r>
      <w:r w:rsidRPr="00D81B2C">
        <w:rPr>
          <w:rStyle w:val="Bodytext21"/>
          <w:lang w:val="tr-TR" w:bidi="tr-TR"/>
        </w:rPr>
        <w:t>not etmiştir</w:t>
      </w:r>
      <w:r w:rsidRPr="00D81B2C">
        <w:rPr>
          <w:lang w:bidi="tr-TR"/>
        </w:rPr>
        <w:t>: “İklim acil durumu, kaybetmekte olduğumuz fakat kazanabileceğimiz bir yarıştır... En iyi bilim... bizlere 1,5°C’nin üzerindeki herhangi bir sıcaklık artışının bizi destekleyen ekosistemlere büyük ve geri dönüşü olmayan bir şekilde zarar vereceğini söylüyor... Fakat bilim bizlere çok geç olmadığını da söylüyor. Bunu yapabiliriz... Fakat bu; besin yetiştirme, araziyi kullanma, ulaşımımız için yakıt sağlama ve ekonomilerimizi güçlendirme yöntemlerimiz gibi toplumun tüm yönlerinde temel değişimleri gerektirecektir... Beraber hareket ederek kimseyi geride bırakmayacağız.”</w:t>
      </w:r>
    </w:p>
    <w:p w:rsidR="00097510" w:rsidRPr="00D81B2C" w:rsidRDefault="00D81B2C" w:rsidP="004B21A9">
      <w:pPr>
        <w:pStyle w:val="Bodytext20"/>
        <w:shd w:val="clear" w:color="auto" w:fill="auto"/>
        <w:spacing w:before="0"/>
        <w:ind w:firstLine="0"/>
        <w:jc w:val="both"/>
        <w:rPr>
          <w:lang w:val="en-GB"/>
        </w:rPr>
      </w:pPr>
      <w:r w:rsidRPr="00D81B2C">
        <w:rPr>
          <w:lang w:bidi="tr-TR"/>
        </w:rPr>
        <w:t xml:space="preserve">Zirvenin hedefi, Paris İklim Anlaşması’nda resmen kabul edilen uluslararası hedefler olan, küresel ısınmayı sanayi öncesi seviyelerin üzerindeki 2°C’den [3,6°F] daha az bir seviyede ve 1,5°C [2,7°F] ile sınırlandırmak için çabalamak amacıyla bir plan yaratmaktır. </w:t>
      </w:r>
      <w:r w:rsidRPr="00D81B2C">
        <w:rPr>
          <w:rStyle w:val="Bodytext21"/>
          <w:lang w:val="tr-TR" w:bidi="tr-TR"/>
        </w:rPr>
        <w:t>Bilimsel kanıt</w:t>
      </w:r>
      <w:r w:rsidRPr="00D81B2C">
        <w:rPr>
          <w:lang w:bidi="tr-TR"/>
        </w:rPr>
        <w:t xml:space="preserve"> açıktır: bu sınırın üstündeki ısınma tüm uluslarda insanların sağlıklarını, refahlarını ve hayatlarını tehdit eden yıkıcı ve geri dönüşü olmayan etkilere yol açacaktır.</w:t>
      </w:r>
    </w:p>
    <w:p w:rsidR="00097510" w:rsidRPr="00D81B2C" w:rsidRDefault="00D81B2C" w:rsidP="004B21A9">
      <w:pPr>
        <w:pStyle w:val="Bodytext20"/>
        <w:shd w:val="clear" w:color="auto" w:fill="auto"/>
        <w:spacing w:before="0" w:after="140"/>
        <w:ind w:firstLine="0"/>
        <w:jc w:val="both"/>
        <w:rPr>
          <w:lang w:val="en-GB"/>
        </w:rPr>
      </w:pPr>
      <w:r w:rsidRPr="00D81B2C">
        <w:rPr>
          <w:lang w:bidi="tr-TR"/>
        </w:rPr>
        <w:t>Grubunuz otomobil üreticileri, havayolları, taşıma ve nakliye, endüstriyel ve tüketici mallarının üreticileri, inşaat, konut ve ticari emlak, tüketici ürünleri, bilgi teknolojisi ve diğer büyük şirketleri dâhil olmak üzere dünyanın enerji tüketimine yön veren büyük sanayileri ve şirketlerinin baş yöneticilerinden oluşmaktadır.</w:t>
      </w:r>
    </w:p>
    <w:p w:rsidR="00097510" w:rsidRPr="00D81B2C" w:rsidRDefault="00D81B2C">
      <w:pPr>
        <w:pStyle w:val="Bodytext20"/>
        <w:shd w:val="clear" w:color="auto" w:fill="auto"/>
        <w:spacing w:before="0" w:after="100" w:line="244" w:lineRule="exact"/>
        <w:ind w:firstLine="0"/>
        <w:jc w:val="both"/>
        <w:rPr>
          <w:lang w:val="en-GB"/>
        </w:rPr>
      </w:pPr>
      <w:r w:rsidRPr="00D81B2C">
        <w:rPr>
          <w:lang w:bidi="tr-TR"/>
        </w:rPr>
        <w:t>Politika öncelikleriniz aşağıda belirtilmektedir. Ancak herhangi bir politika teklif edebilir veya herhangi birini durdurabilirsiniz.</w:t>
      </w:r>
    </w:p>
    <w:p w:rsidR="00097510" w:rsidRPr="00D81B2C" w:rsidRDefault="00D81B2C" w:rsidP="004B21A9">
      <w:pPr>
        <w:pStyle w:val="Bodytext20"/>
        <w:numPr>
          <w:ilvl w:val="0"/>
          <w:numId w:val="1"/>
        </w:numPr>
        <w:shd w:val="clear" w:color="auto" w:fill="auto"/>
        <w:tabs>
          <w:tab w:val="left" w:pos="362"/>
        </w:tabs>
        <w:spacing w:before="0"/>
        <w:ind w:left="400"/>
        <w:jc w:val="both"/>
        <w:rPr>
          <w:lang w:val="en-GB"/>
        </w:rPr>
      </w:pPr>
      <w:r w:rsidRPr="00D81B2C">
        <w:rPr>
          <w:rStyle w:val="Bodytext2Bold"/>
          <w:lang w:val="tr-TR" w:bidi="tr-TR"/>
        </w:rPr>
        <w:t xml:space="preserve">Enerji ücretlerini düşük tutun. </w:t>
      </w:r>
      <w:r w:rsidRPr="00D81B2C">
        <w:rPr>
          <w:lang w:bidi="tr-TR"/>
        </w:rPr>
        <w:t>Enerji fiyatları yükselirse ürün fiyatları da yükselir ve bu da insanların ürünlerinizden satın alma olasılığını azaltır. Enerjiye yönelik devlet teşvikine destek verirken enerji vergilerine ve yüksek karbon ücretlerine karşı çalışarak enerji fiyatlarını düşük tutun. Sizin ve diğer grupların teklif ettiği politikaların enerji maliyetini nasıl etkilediğini göz önünde bulundurun.</w:t>
      </w:r>
    </w:p>
    <w:p w:rsidR="00097510" w:rsidRPr="00D81B2C" w:rsidRDefault="00D81B2C" w:rsidP="004B21A9">
      <w:pPr>
        <w:pStyle w:val="Bodytext20"/>
        <w:numPr>
          <w:ilvl w:val="0"/>
          <w:numId w:val="1"/>
        </w:numPr>
        <w:shd w:val="clear" w:color="auto" w:fill="auto"/>
        <w:tabs>
          <w:tab w:val="left" w:pos="362"/>
        </w:tabs>
        <w:spacing w:before="0"/>
        <w:ind w:left="400"/>
        <w:jc w:val="both"/>
        <w:rPr>
          <w:lang w:val="en-GB"/>
        </w:rPr>
      </w:pPr>
      <w:r w:rsidRPr="00D81B2C">
        <w:rPr>
          <w:rStyle w:val="Bodytext2Bold"/>
          <w:lang w:val="tr-TR" w:bidi="tr-TR"/>
        </w:rPr>
        <w:t xml:space="preserve">Ulaşım, inşaat ve sanayinin enerji verimliliğini artırın. </w:t>
      </w:r>
      <w:r w:rsidRPr="00D81B2C">
        <w:rPr>
          <w:lang w:bidi="tr-TR"/>
        </w:rPr>
        <w:t>Enerji verimliliği aynı hizmeti veya malların üretimini sağlamak için daha az enerji kullanma anlamına gelir. Enerji verimliliğini artırmak bazen önceden yapılan maliyetleri artırsa da uzun vadede çalıştırma maliyetlerini azaltır, tasarruf oluşturur. Verimlilik iyileştirmeleri sera gazı (GHG) emisyonlarını azaltmak için çekici bir seçenek olabilir. Ancak ürün ve süreçlerinizde hızlı ve maliyetli değişimlerden kaçınmak için verimlilikte dramatik artışlar gerektirecek politikalara ve düzenlemelere karşı çıkmaktasınız.</w:t>
      </w:r>
    </w:p>
    <w:p w:rsidR="00097510" w:rsidRPr="00D81B2C" w:rsidRDefault="00D81B2C" w:rsidP="004B21A9">
      <w:pPr>
        <w:pStyle w:val="Bodytext20"/>
        <w:numPr>
          <w:ilvl w:val="0"/>
          <w:numId w:val="1"/>
        </w:numPr>
        <w:shd w:val="clear" w:color="auto" w:fill="auto"/>
        <w:tabs>
          <w:tab w:val="left" w:pos="362"/>
        </w:tabs>
        <w:spacing w:before="0"/>
        <w:ind w:left="400"/>
        <w:jc w:val="both"/>
        <w:rPr>
          <w:lang w:val="en-GB"/>
        </w:rPr>
      </w:pPr>
      <w:r w:rsidRPr="00D81B2C">
        <w:rPr>
          <w:rStyle w:val="Bodytext2Bold"/>
          <w:lang w:val="tr-TR" w:bidi="tr-TR"/>
        </w:rPr>
        <w:t xml:space="preserve">Ulaşım, inşaat ve sanayinin elektrikle çalıştırılmasını araştırın. </w:t>
      </w:r>
      <w:r w:rsidRPr="00D81B2C">
        <w:rPr>
          <w:lang w:bidi="tr-TR"/>
        </w:rPr>
        <w:t>Bugünün ulaşım endüstrisi arabalarımıza, kamyonlarımıza, gemilerimize, trenlerimize ve uçaklarımıza yakıt sağlamak için petrole çok kuvvetli bir şekilde bağımlıdır. Ayrıca inşaatlardan kaynaklanan GHG emisyonları temel olarak ısınma için yakılan fosil yakıtlardan meydana gelmektedir. Ulaşım, ısınma ve endüstriyel süreçlerin elektrikle çalıştırılması, elektrik kaynaklarının da güvenilir ve fosil güçten daha ucuz olması halinde bunlara nihayetinde yenilenebilir enerjiyle güç sağlanabilir.</w:t>
      </w:r>
    </w:p>
    <w:p w:rsidR="00097510" w:rsidRPr="00D81B2C" w:rsidRDefault="00D81B2C" w:rsidP="004B21A9">
      <w:pPr>
        <w:pStyle w:val="Bodytext20"/>
        <w:numPr>
          <w:ilvl w:val="0"/>
          <w:numId w:val="1"/>
        </w:numPr>
        <w:shd w:val="clear" w:color="auto" w:fill="auto"/>
        <w:tabs>
          <w:tab w:val="left" w:pos="362"/>
        </w:tabs>
        <w:spacing w:before="0" w:after="140"/>
        <w:ind w:left="400"/>
        <w:jc w:val="both"/>
        <w:rPr>
          <w:lang w:val="en-GB"/>
        </w:rPr>
      </w:pPr>
      <w:r w:rsidRPr="004B21A9">
        <w:rPr>
          <w:rStyle w:val="Bodytext2Bold"/>
          <w:rFonts w:eastAsia="Arial"/>
          <w:lang w:val="tr-TR" w:bidi="tr-TR"/>
        </w:rPr>
        <w:t xml:space="preserve">Endüstrilerinizi doğrudan etkilemeyen eylemleri cesaretlendirin. </w:t>
      </w:r>
      <w:r w:rsidRPr="004B21A9">
        <w:rPr>
          <w:lang w:bidi="tr-TR"/>
        </w:rPr>
        <w:t>İklim değişikliğinin tehlikeli olduğunu anlamakla beraber hisse senedi değerlerini de korumanız gerekir. Bu yüzden endüstrilerinize zarar vermeden GHG emisyonlarını azaltabilecek politikaları destekleyin. Fosil yakıt kullanımından kaynaklanan CO</w:t>
      </w:r>
      <w:r w:rsidRPr="004B21A9">
        <w:rPr>
          <w:vertAlign w:val="subscript"/>
          <w:lang w:bidi="tr-TR"/>
        </w:rPr>
        <w:t>2</w:t>
      </w:r>
      <w:r w:rsidRPr="004B21A9">
        <w:rPr>
          <w:lang w:bidi="tr-TR"/>
        </w:rPr>
        <w:t xml:space="preserve"> iklim değişikliğine en çok katkıyı yapmasına rağmen metan (CH</w:t>
      </w:r>
      <w:r w:rsidRPr="004B21A9">
        <w:rPr>
          <w:vertAlign w:val="subscript"/>
          <w:lang w:bidi="tr-TR"/>
        </w:rPr>
        <w:t>4</w:t>
      </w:r>
      <w:r w:rsidRPr="004B21A9">
        <w:rPr>
          <w:lang w:bidi="tr-TR"/>
        </w:rPr>
        <w:t>), azot oksit (N</w:t>
      </w:r>
      <w:r w:rsidRPr="004B21A9">
        <w:rPr>
          <w:vertAlign w:val="subscript"/>
          <w:lang w:bidi="tr-TR"/>
        </w:rPr>
        <w:t>2</w:t>
      </w:r>
      <w:r w:rsidRPr="004B21A9">
        <w:rPr>
          <w:lang w:bidi="tr-TR"/>
        </w:rPr>
        <w:t xml:space="preserve">O) ve diğer gazlar etkili GHG’lerdir ve etkileri artmaktadır. Küresel tarım ve ormancılık uygulamaları da bu gazların emisyonlarına büyük ölçüde katkıda bulunmaktadır. Arazi </w:t>
      </w:r>
      <w:r w:rsidRPr="004B21A9">
        <w:rPr>
          <w:lang w:bidi="tr-TR"/>
        </w:rPr>
        <w:lastRenderedPageBreak/>
        <w:t>kullanımından, tarımdan ve ormancılıktan kaynaklanan emisyonlar da dâhil olmak üzere diğer GHG’leri azaltacak politikalara destek vermektesiniz. Orman tahribini durdurma ve yeni ağaçlar ekme (ağaçlandırma) çalışmalarını desteklemektesiniz.</w:t>
      </w:r>
    </w:p>
    <w:p w:rsidR="00097510" w:rsidRPr="00D81B2C" w:rsidRDefault="00D81B2C" w:rsidP="004B21A9">
      <w:pPr>
        <w:pStyle w:val="Bodytext50"/>
        <w:keepNext/>
        <w:widowControl/>
        <w:shd w:val="clear" w:color="auto" w:fill="auto"/>
        <w:spacing w:before="0" w:after="100"/>
        <w:rPr>
          <w:lang w:val="en-GB"/>
        </w:rPr>
      </w:pPr>
      <w:r w:rsidRPr="00D81B2C">
        <w:rPr>
          <w:lang w:bidi="tr-TR"/>
        </w:rPr>
        <w:t>Ek Hususlar</w:t>
      </w:r>
    </w:p>
    <w:p w:rsidR="00097510" w:rsidRPr="00D81B2C" w:rsidRDefault="00D81B2C" w:rsidP="004B21A9">
      <w:pPr>
        <w:pStyle w:val="Bodytext20"/>
        <w:shd w:val="clear" w:color="auto" w:fill="auto"/>
        <w:spacing w:before="0"/>
        <w:ind w:firstLine="0"/>
        <w:jc w:val="both"/>
        <w:rPr>
          <w:lang w:val="en-GB"/>
        </w:rPr>
      </w:pPr>
      <w:r w:rsidRPr="00D81B2C">
        <w:rPr>
          <w:lang w:bidi="tr-TR"/>
        </w:rPr>
        <w:t>Temsil ettiğiniz endüstriler ucuz enerji döneminde gelişmiştir ve işletme modelleriniz yakıt ve elektriğin ucuz ve bol kalacağınızı varsaymaktadır. Dramatik bir şekilde artan enerji verimliliği önemli kültürel değişim ve yeni kabiliyetler gerektirecektir. Yükümlü otomobil üreticileri ile uçak, taşıma ve nakliye endüstrileri dâhil olmak üzere önemli ilgililerden bazıları yakıt fiyatlarını artıran politikalardan zarar görebilir. Bazıları ayakta kalamayabilir. Diğer sektörlerde enerji tasarruflu ürünler yüksek fiyatla satılabilir ve kâr yaratabilir. Enerji verimliliği yalnızca enerji talebini azaltmaz, aynı zamanda toplumun iklimle ilgili felaketlere dayanıklılığını geliştirebilir. Örneğin bir fırtına enerji hatlarını yıksa bile iyi yalıtılmış bir ev ısıyı içinde tutabilir. Ekonominin enerji yoğunluğu (reel GSYH’nin birimi başına kullanılan enerji) yıl başına yaklaşık %1,3 oranında düşmekte ve bu trendin gelecek on yıllarda da devam etmesi beklenmektedir. Bazı analizciler enerji yoğunluğunun yılda %5-7 kadar düşebileceği sonucuna varmaktadır (belli bir maliyet karşılığında. Bu tüm endüstriler için geçerli değildir).</w:t>
      </w:r>
    </w:p>
    <w:p w:rsidR="00097510" w:rsidRPr="00D81B2C" w:rsidRDefault="00D81B2C" w:rsidP="004B21A9">
      <w:pPr>
        <w:pStyle w:val="Bodytext20"/>
        <w:shd w:val="clear" w:color="auto" w:fill="auto"/>
        <w:spacing w:before="0"/>
        <w:ind w:firstLine="0"/>
        <w:jc w:val="both"/>
        <w:rPr>
          <w:lang w:val="en-GB"/>
        </w:rPr>
      </w:pPr>
      <w:r w:rsidRPr="00D81B2C">
        <w:rPr>
          <w:lang w:bidi="tr-TR"/>
        </w:rPr>
        <w:t>Endüstrinizin liderleri, birçok enerji verimliliği projelerinin kısa geri ödeme sürelerine sahip olduğunu ve az risk ile pozitif net bugünkü değer sunduğunu bildirmektedir. Yenilikçi finansman mekanizmaları daha düşük enerji maliyetlerinden yapılan tasarrufları yeni enerji verimliliği projelerine, söz konusu projeleri ilgililer için ekonomik olarak çekici hale getirerek yeniden yatırabilir.</w:t>
      </w:r>
    </w:p>
    <w:p w:rsidR="00097510" w:rsidRPr="00D81B2C" w:rsidRDefault="00D81B2C" w:rsidP="004B21A9">
      <w:pPr>
        <w:pStyle w:val="Bodytext20"/>
        <w:shd w:val="clear" w:color="auto" w:fill="auto"/>
        <w:spacing w:before="0"/>
        <w:ind w:firstLine="0"/>
        <w:jc w:val="both"/>
        <w:rPr>
          <w:lang w:val="en-GB"/>
        </w:rPr>
      </w:pPr>
      <w:r w:rsidRPr="00D81B2C">
        <w:rPr>
          <w:lang w:bidi="tr-TR"/>
        </w:rPr>
        <w:t>Küresel inşaat sektörü, küresel nüfus artışının ve ekonomik büyümenin zorlamasıyla, eşi görülmemiş bir hızla büyümektedir. Gelecek 40 yılda dünyada 230 milyar metrekare yeni inşaat yapması beklenmektedir; bu da her hafta dünyaya Paris’in alanına eşit büyüklükte inşaat eklenmesi demektir. Küresel inşaat sektöründe enerji verimliliğini ve yenilenebilir enerji üretimini hızlandıracak ve mevcut yapıları dönüştürecek yeni politikalara ve teşviklere ihtiyaç duyulmaktadır. Yeni binalar ve mevcut binaların enerji dönüşümleri enerji kullanımını %25-80 veya daha fazla kesebilir ve “net sıfır” enerji binaları birçok alanda artık hem mümkün hem de daha kârlıdır. Demir, çelik ve çimento gibi enerji ağırlıklı endüstriler yeni ekipman kullanarak ve atık ısının yeniden kullanımıyla daha verimli hale gelmiştir. Verimli, düzgün boyutlandırılmış motorlar ve girişimler %20-25’lik enerji tasarrufuna yol açabilir. Ancak binaların, araçların ve altyapının uzun ömrü iyileştirme oranını sınırlandırmakta ve yalnızca yeni yatırımların değil dönüşümlerin önemini de vurgulamaktadır.</w:t>
      </w:r>
    </w:p>
    <w:p w:rsidR="00097510" w:rsidRPr="00D81B2C" w:rsidRDefault="00D81B2C" w:rsidP="004B21A9">
      <w:pPr>
        <w:pStyle w:val="Bodytext20"/>
        <w:shd w:val="clear" w:color="auto" w:fill="auto"/>
        <w:spacing w:before="0"/>
        <w:ind w:firstLine="0"/>
        <w:jc w:val="both"/>
        <w:rPr>
          <w:lang w:val="en-GB"/>
        </w:rPr>
      </w:pPr>
      <w:r w:rsidRPr="00D81B2C">
        <w:rPr>
          <w:lang w:bidi="tr-TR"/>
        </w:rPr>
        <w:t>Potansiyele rağmen bel bağladığınız enerji fiyatlarındaki büyük yükselişler gibi, iş yapmak için yeni maliyetler getiren politikalara karşı uyanık olmalısınız. Her zaman yeniliğe güvenen bir grup olarak GHG emisyonlarını durduracak teknolojik çözümleri ilgi çekici bulabilmekte ve yeni iş fırsatları yaratan devlet teşviklerine destek vermektesiniz.</w:t>
      </w:r>
    </w:p>
    <w:p w:rsidR="00097510" w:rsidRPr="00D81B2C" w:rsidRDefault="00D81B2C" w:rsidP="004B21A9">
      <w:pPr>
        <w:pStyle w:val="Bodytext20"/>
        <w:shd w:val="clear" w:color="auto" w:fill="auto"/>
        <w:spacing w:before="0" w:after="0"/>
        <w:ind w:firstLine="0"/>
        <w:jc w:val="both"/>
        <w:rPr>
          <w:lang w:val="en-GB"/>
        </w:rPr>
      </w:pPr>
      <w:r w:rsidRPr="00D81B2C">
        <w:rPr>
          <w:lang w:bidi="tr-TR"/>
        </w:rPr>
        <w:t>Küresel GHG emisyonlarının, iklim değişikliğinin en kötü etkilerinden kaçınmak için azaltılması gerektiğini bilmektesiniz. Artan deniz seviyeleri, daha aşırı iklim koşulları ve bunların ardından meydana gelecek jeopolitik alt üst oluşlar tedarik zincirlerinize, müşterilerinize ve çalışanlarınıza karşı ciddi tehlikeler oluşturmaktadır. Artan iklim hasarları da enerji maliyetlerini artıracak ve endüstrilerinize zarar verecek aşırı politikaların ve düzenlemelerin olasılığını da yükseltmektedir. Endüstrilerinize adil olmayan bir şekilde yük olan politikalara ve düzenlemelere engel olmaya çalışırken kazançlı kalabilmek ve ısınan bir dünyada hayatta kalmak için sera gazı emisyonlarını azaltmaya ve iklim değişikliğini yavaşlatmaya da çalışmalısınız. Unilever CEO’su Paul Polman’ın da dediği gibi "</w:t>
      </w:r>
      <w:r w:rsidRPr="00D81B2C">
        <w:rPr>
          <w:rStyle w:val="Bodytext21"/>
          <w:lang w:val="tr-TR" w:bidi="tr-TR"/>
        </w:rPr>
        <w:t>ölü bir gezegende kâr yoktur</w:t>
      </w:r>
      <w:r w:rsidRPr="00D81B2C">
        <w:rPr>
          <w:lang w:bidi="tr-TR"/>
        </w:rPr>
        <w:t>."</w:t>
      </w:r>
    </w:p>
    <w:p w:rsidR="00D81B2C" w:rsidRPr="00D81B2C" w:rsidRDefault="00D81B2C">
      <w:pPr>
        <w:pStyle w:val="Bodytext20"/>
        <w:shd w:val="clear" w:color="auto" w:fill="auto"/>
        <w:spacing w:before="0" w:after="0"/>
        <w:ind w:firstLine="0"/>
        <w:rPr>
          <w:lang w:val="en-GB"/>
        </w:rPr>
      </w:pPr>
    </w:p>
    <w:p w:rsidR="00D81B2C" w:rsidRPr="00D81B2C" w:rsidRDefault="00D81B2C">
      <w:pPr>
        <w:jc w:val="center"/>
        <w:rPr>
          <w:lang w:val="en-GB"/>
        </w:rPr>
      </w:pPr>
      <w:r w:rsidRPr="00D81B2C">
        <w:rPr>
          <w:lang w:bidi="tr-TR"/>
        </w:rPr>
        <w:t>_____________</w:t>
      </w:r>
    </w:p>
    <w:p w:rsidR="00D81B2C" w:rsidRPr="00D81B2C" w:rsidRDefault="00D81B2C">
      <w:pPr>
        <w:pStyle w:val="Bodytext20"/>
        <w:shd w:val="clear" w:color="auto" w:fill="auto"/>
        <w:spacing w:before="0" w:after="0"/>
        <w:ind w:firstLine="0"/>
        <w:rPr>
          <w:lang w:val="en-GB"/>
        </w:rPr>
      </w:pPr>
    </w:p>
    <w:p w:rsidR="00D81B2C" w:rsidRPr="00D81B2C" w:rsidRDefault="00D81B2C">
      <w:pPr>
        <w:pStyle w:val="Bodytext20"/>
        <w:shd w:val="clear" w:color="auto" w:fill="auto"/>
        <w:spacing w:before="0" w:after="0"/>
        <w:ind w:firstLine="0"/>
        <w:rPr>
          <w:lang w:val="en-GB"/>
        </w:rPr>
      </w:pPr>
    </w:p>
    <w:sectPr w:rsidR="00D81B2C" w:rsidRPr="00D81B2C" w:rsidSect="004B21A9">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4FC" w:rsidRDefault="00D81B2C">
      <w:r>
        <w:separator/>
      </w:r>
    </w:p>
  </w:endnote>
  <w:endnote w:type="continuationSeparator" w:id="0">
    <w:p w:rsidR="006C74FC" w:rsidRDefault="00D8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B2C" w:rsidRPr="00D81B2C" w:rsidRDefault="00D81B2C" w:rsidP="00D81B2C">
    <w:pPr>
      <w:pStyle w:val="Bodytext20"/>
      <w:shd w:val="clear" w:color="auto" w:fill="auto"/>
      <w:spacing w:before="0" w:after="0"/>
      <w:ind w:firstLine="0"/>
      <w:rPr>
        <w:i/>
        <w:sz w:val="20"/>
        <w:szCs w:val="20"/>
      </w:rPr>
    </w:pPr>
    <w:r w:rsidRPr="00D81B2C">
      <w:rPr>
        <w:i/>
        <w:sz w:val="20"/>
        <w:szCs w:val="20"/>
        <w:lang w:bidi="tr-TR"/>
      </w:rPr>
      <w:t xml:space="preserve">Climate Interactive, MIT Sloan İşletme Okulu Sürdürülebilirlik Girişimi, ESB İşletme Okulu ve UMass Lowell İklim Değişikliği Girişimi tarafından oluşturulmuştur. Son güncelleme Eylül 2019. </w:t>
    </w:r>
    <w:hyperlink r:id="rId1" w:history="1">
      <w:r w:rsidRPr="00D81B2C">
        <w:rPr>
          <w:i/>
          <w:sz w:val="20"/>
          <w:szCs w:val="20"/>
          <w:lang w:bidi="tr-TR"/>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510" w:rsidRDefault="00097510"/>
  </w:footnote>
  <w:footnote w:type="continuationSeparator" w:id="0">
    <w:p w:rsidR="00097510" w:rsidRDefault="0009751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732"/>
    <w:multiLevelType w:val="multilevel"/>
    <w:tmpl w:val="A02E6F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510"/>
    <w:rsid w:val="0005293B"/>
    <w:rsid w:val="00097510"/>
    <w:rsid w:val="004B21A9"/>
    <w:rsid w:val="006C74FC"/>
    <w:rsid w:val="006D1734"/>
    <w:rsid w:val="00A54829"/>
    <w:rsid w:val="00CC0C1E"/>
    <w:rsid w:val="00D81B2C"/>
    <w:rsid w:val="00E232AA"/>
    <w:rsid w:val="00ED0390"/>
    <w:rsid w:val="00ED344D"/>
    <w:rsid w:val="00F25364"/>
    <w:rsid w:val="00FD5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00DBFB-551D-4C71-9AB5-D4F3FD39648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tr-T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4B21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1A9"/>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CTJJHAUHWN5E-644613129-873</_dlc_DocId>
    <_dlc_DocIdUrl xmlns="bfc960a6-20da-4c94-8684-71380fca093b">
      <Url>http://dm2016/eesc/2019/_layouts/15/DocIdRedir.aspx?ID=CTJJHAUHWN5E-644613129-873</Url>
      <Description>CTJJHAUHWN5E-644613129-873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2019-11-27T12:00:00+00:00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152</Value>
      <Value>162</Value>
      <Value>49</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6e4ededd-04c4-4fa0-94e0-1028050302d5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7433B883-6816-431A-8360-27DFD1E0FF00}"/>
</file>

<file path=customXml/itemProps2.xml><?xml version="1.0" encoding="utf-8"?>
<ds:datastoreItem xmlns:ds="http://schemas.openxmlformats.org/officeDocument/2006/customXml" ds:itemID="{C340FBBD-377F-4608-B964-A5DCA9757BB6}"/>
</file>

<file path=customXml/itemProps3.xml><?xml version="1.0" encoding="utf-8"?>
<ds:datastoreItem xmlns:ds="http://schemas.openxmlformats.org/officeDocument/2006/customXml" ds:itemID="{B2A6ADBD-0F5D-4681-B8B2-7F3F4770EB0E}"/>
</file>

<file path=customXml/itemProps4.xml><?xml version="1.0" encoding="utf-8"?>
<ds:datastoreItem xmlns:ds="http://schemas.openxmlformats.org/officeDocument/2006/customXml" ds:itemID="{BB3C9996-E78E-4F80-AE09-70531509D1FA}"/>
</file>

<file path=docProps/app.xml><?xml version="1.0" encoding="utf-8"?>
<Properties xmlns="http://schemas.openxmlformats.org/officeDocument/2006/extended-properties" xmlns:vt="http://schemas.openxmlformats.org/officeDocument/2006/docPropsVTypes">
  <Template>Styles.dotm</Template>
  <TotalTime>1</TotalTime>
  <Pages>2</Pages>
  <Words>1199</Words>
  <Characters>6837</Characters>
  <Application>Microsoft Office Word</Application>
  <DocSecurity>4</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5 -  Industry and Commerce </dc:title>
  <dc:creator>CDT</dc:creator>
  <cp:keywords>EESC-2019-05163-04-00-INFO-TRA-EN</cp:keywords>
  <dc:description>Rapporteur:  - Original language: EN - Date of document: 27/11/2019 - Date of meeting:  - External documents:  - Administrator: MME Lahousse Chloé</dc:description>
  <cp:lastModifiedBy>Robert Urukalo</cp:lastModifiedBy>
  <cp:revision>2</cp:revision>
  <dcterms:created xsi:type="dcterms:W3CDTF">2019-11-27T14:13:00Z</dcterms:created>
  <dcterms:modified xsi:type="dcterms:W3CDTF">2019-11-27T14:13:00Z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11:18:38, 10:14:49</vt:lpwstr>
  </property>
  <property fmtid="{D5CDD505-2E9C-101B-9397-08002B2CF9AE}" pid="5" name="Pref_User">
    <vt:lpwstr>hnic, htoo</vt:lpwstr>
  </property>
  <property fmtid="{D5CDD505-2E9C-101B-9397-08002B2CF9AE}" pid="6" name="Pref_FileName">
    <vt:lpwstr>EESC-2019-05163-04-00-INFO-TRA-EN-CRR.docx, EESC-2019-05163-04-00-INFO-CRR-EN.docx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0a081014-de1a-4e21-9463-8e69858852f0</vt:lpwstr>
  </property>
  <property fmtid="{D5CDD505-2E9C-101B-9397-08002B2CF9AE}" pid="9" name="AvailableTranslations">
    <vt:lpwstr>152;#MK|34ce48bb-063e-4413-a932-50853dc71c5c;#49;#EL|6d4f4d51-af9b-4650-94b4-4276bee85c91;#154;#SQ|5ac17240-8d11-45ec-9893-659b209d7a00;#162;#TR|6e4ededd-04c4-4fa0-94e0-1028050302d5;#153;#SR|7f3a1d13-b985-4bfd-981e-afe31377edff;#246;#ME|925b3da5-5ac0-4b3c-928c-6ef66a5c9b3c;#4;#EN|f2175f21-25d7-44a3-96da-d6a61b075e1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4</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MK|34ce48bb-063e-4413-a932-50853dc71c5c;EL|6d4f4d51-af9b-4650-94b4-4276bee85c91;SQ|5ac17240-8d11-45ec-9893-659b209d7a00;ME|925b3da5-5ac0-4b3c-928c-6ef66a5c9b3c;EN|f2175f21-25d7-44a3-96da-d6a61b075e1b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49;#EL|6d4f4d51-af9b-4650-94b4-4276bee85c91;#11;#INFO|d9136e7c-93a9-4c42-9d28-92b61e85f80c;#154;#SQ|5ac17240-8d11-45ec-9893-659b209d7a00;#246;#ME|925b3da5-5ac0-4b3c-928c-6ef66a5c9b3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11387</vt:i4>
  </property>
  <property fmtid="{D5CDD505-2E9C-101B-9397-08002B2CF9AE}" pid="37" name="DocumentLanguage">
    <vt:lpwstr>162;#TR|6e4ededd-04c4-4fa0-94e0-1028050302d5</vt:lpwstr>
  </property>
  <property fmtid="{D5CDD505-2E9C-101B-9397-08002B2CF9AE}" pid="38" name="_docset_NoMedatataSyncRequired">
    <vt:lpwstr>False</vt:lpwstr>
  </property>
</Properties>
</file>